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方正小标宋简体" w:hAnsi="方正小标宋简体" w:cs="方正小标宋简体" w:eastAsia="方正小标宋简体"/>
          <w:color w:val="auto"/>
          <w:spacing w:val="0"/>
          <w:position w:val="0"/>
          <w:sz w:val="44"/>
          <w:shd w:fill="auto" w:val="clear"/>
        </w:rPr>
      </w:pPr>
      <w:r>
        <w:rPr>
          <w:rFonts w:ascii="宋体" w:hAnsi="宋体" w:cs="宋体" w:eastAsia="宋体"/>
          <w:color w:val="auto"/>
          <w:spacing w:val="0"/>
          <w:position w:val="0"/>
          <w:sz w:val="44"/>
          <w:shd w:fill="auto" w:val="clear"/>
        </w:rPr>
        <w:t xml:space="preserve">霸州市粮食局</w:t>
      </w:r>
      <w:r>
        <w:rPr>
          <w:rFonts w:ascii="方正小标宋简体" w:hAnsi="方正小标宋简体" w:cs="方正小标宋简体" w:eastAsia="方正小标宋简体"/>
          <w:color w:val="auto"/>
          <w:spacing w:val="0"/>
          <w:position w:val="0"/>
          <w:sz w:val="44"/>
          <w:shd w:fill="auto" w:val="clear"/>
        </w:rPr>
        <w:t xml:space="preserve">2018</w:t>
      </w:r>
      <w:r>
        <w:rPr>
          <w:rFonts w:ascii="宋体" w:hAnsi="宋体" w:cs="宋体" w:eastAsia="宋体"/>
          <w:color w:val="auto"/>
          <w:spacing w:val="0"/>
          <w:position w:val="0"/>
          <w:sz w:val="44"/>
          <w:shd w:fill="auto" w:val="clear"/>
        </w:rPr>
        <w:t xml:space="preserve">年部门预算信息公开</w:t>
      </w:r>
    </w:p>
    <w:p>
      <w:pPr>
        <w:spacing w:before="0" w:after="0" w:line="24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按照《预算法》、《地方预决算公开操作规程》和《河北省省级预算公开办法》规定，现将霸州市粮食局2018年部门预算公开如下：</w:t>
      </w:r>
    </w:p>
    <w:p>
      <w:pPr>
        <w:spacing w:before="0" w:after="0" w:line="24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一、部门职责及机构设置情况</w:t>
      </w:r>
    </w:p>
    <w:p>
      <w:pPr>
        <w:spacing w:before="0" w:after="0" w:line="240"/>
        <w:ind w:right="0" w:left="0" w:firstLine="643"/>
        <w:jc w:val="both"/>
        <w:rPr>
          <w:rFonts w:ascii="Calibri" w:hAnsi="Calibri" w:cs="Calibri" w:eastAsia="Calibri"/>
          <w:b/>
          <w:color w:val="auto"/>
          <w:spacing w:val="0"/>
          <w:position w:val="0"/>
          <w:sz w:val="32"/>
          <w:shd w:fill="auto" w:val="clear"/>
        </w:rPr>
      </w:pPr>
      <w:r>
        <w:rPr>
          <w:rFonts w:ascii="宋体" w:hAnsi="宋体" w:cs="宋体" w:eastAsia="宋体"/>
          <w:b/>
          <w:color w:val="auto"/>
          <w:spacing w:val="0"/>
          <w:position w:val="0"/>
          <w:sz w:val="32"/>
          <w:shd w:fill="auto" w:val="clear"/>
        </w:rPr>
        <w:t xml:space="preserve">部门职责：</w:t>
      </w:r>
    </w:p>
    <w:p>
      <w:pPr>
        <w:spacing w:before="0" w:after="0" w:line="52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（一）组织落实国家、省有关粮食流通的法规、政策；研究拟定全市粮食流通政策、制度，指导全市粮食流通体制改革。</w:t>
      </w:r>
    </w:p>
    <w:p>
      <w:pPr>
        <w:spacing w:before="0" w:after="0" w:line="52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（二）拟定全市粮食流通发展规划和年度计划；拟定全市粮食总量和品种平衡计划，指导协调各库站之间粮食问题和品种平衡，制定全市粮食流通产业结构调整和布局调整实施意见。</w:t>
      </w:r>
    </w:p>
    <w:p>
      <w:pPr>
        <w:spacing w:before="0" w:after="0" w:line="52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（三）组织协调全市粮食收购工作，掌握粮源；贯彻《粮食收购条例》，组织指导全市粮食市场供应，保障军供民需及学校、灾区、缺粮地区粮食供应。</w:t>
      </w:r>
    </w:p>
    <w:p>
      <w:pPr>
        <w:spacing w:before="0" w:after="0" w:line="52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（四）建立和完善市级粮食储备制度，研究提出市级储备规模和吞吐计划，报经市政府同意后组织落实；管理国家、省委托代管的中央、省储备粮；指导各库站粮食储备和农村粮食储存工作。</w:t>
      </w:r>
    </w:p>
    <w:p>
      <w:pPr>
        <w:spacing w:before="0" w:after="0" w:line="52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（五）培育和完善粮食市场体系，制定全市粮食批发市场建设发展规划和管理办法；按有关规定管理粮食市场，维护粮食流通秩序。</w:t>
      </w:r>
    </w:p>
    <w:p>
      <w:pPr>
        <w:spacing w:before="0" w:after="0" w:line="52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（六）根据有关法律、法规，对社会粮食流通进行行政执法；监督检查有关粮食法律、法规执行情况，依法实施行政处罚，受理行政提议，指导本系统执法工作。</w:t>
      </w:r>
    </w:p>
    <w:p>
      <w:pPr>
        <w:spacing w:before="0" w:after="0" w:line="52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（七）协助有关部门建立和管理粮食风险基金；制定和落实消化新老财务挂账措施，协助有关部门监督管理粮食收购资金。</w:t>
      </w:r>
    </w:p>
    <w:p>
      <w:pPr>
        <w:spacing w:before="0" w:after="0" w:line="52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（八）负责全市粮食流通设施建设规划布局，落实国家、省、市粮食流通设施建设投资，组织实施工程建设。</w:t>
      </w:r>
    </w:p>
    <w:p>
      <w:pPr>
        <w:spacing w:before="0" w:after="0" w:line="52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（九）负责指导全市粮食储存安全管理；执行粮食质量标准，落实粮食检验政策、制度和办法。</w:t>
      </w:r>
    </w:p>
    <w:p>
      <w:pPr>
        <w:spacing w:before="0" w:after="0" w:line="52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十）负责全市粮食流通行业管理；推动全市粮食流通行业技术改造和新技术推广，负责全行业对外交流与合作，制定全市粮食系统粮油、饲料、食品等工业发展规划和布局；指导全市粮食企业搞好改革、发展、稳定工作。</w:t>
      </w:r>
    </w:p>
    <w:p>
      <w:pPr>
        <w:spacing w:before="0" w:after="0" w:line="52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（十一）管理机关财务和直属单位国有资产；负责全市粮食系统财务、内部审计工作；负责全市粮食系统业务统计和机构编制、人员、工资统计工作；负责全市粮食系统职工教育培训工作。</w:t>
      </w:r>
    </w:p>
    <w:p>
      <w:pPr>
        <w:spacing w:before="0" w:after="0" w:line="52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（十二）承办市政府交办的其他事项。</w:t>
      </w:r>
    </w:p>
    <w:p>
      <w:pPr>
        <w:spacing w:before="0" w:after="0" w:line="240"/>
        <w:ind w:right="0" w:left="0" w:firstLine="0"/>
        <w:jc w:val="both"/>
        <w:rPr>
          <w:rFonts w:ascii="Calibri" w:hAnsi="Calibri" w:cs="Calibri" w:eastAsia="Calibri"/>
          <w:color w:val="FF0000"/>
          <w:spacing w:val="0"/>
          <w:position w:val="0"/>
          <w:sz w:val="32"/>
          <w:shd w:fill="auto" w:val="clear"/>
        </w:rPr>
      </w:pPr>
    </w:p>
    <w:p>
      <w:pPr>
        <w:spacing w:before="0" w:after="0" w:line="240"/>
        <w:ind w:right="0" w:left="0" w:firstLine="643"/>
        <w:jc w:val="left"/>
        <w:rPr>
          <w:rFonts w:ascii="楷体_GB2312" w:hAnsi="楷体_GB2312" w:cs="楷体_GB2312" w:eastAsia="楷体_GB2312"/>
          <w:b/>
          <w:color w:val="auto"/>
          <w:spacing w:val="0"/>
          <w:position w:val="0"/>
          <w:sz w:val="32"/>
          <w:shd w:fill="auto" w:val="clear"/>
        </w:rPr>
      </w:pPr>
      <w:r>
        <w:rPr>
          <w:rFonts w:ascii="宋体" w:hAnsi="宋体" w:cs="宋体" w:eastAsia="宋体"/>
          <w:b/>
          <w:color w:val="auto"/>
          <w:spacing w:val="0"/>
          <w:position w:val="0"/>
          <w:sz w:val="32"/>
          <w:shd w:fill="auto" w:val="clear"/>
        </w:rPr>
        <w:t xml:space="preserve">机构设置：</w:t>
      </w:r>
    </w:p>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宋体" w:hAnsi="宋体" w:cs="宋体" w:eastAsia="宋体"/>
          <w:color w:val="auto"/>
          <w:spacing w:val="0"/>
          <w:position w:val="0"/>
          <w:sz w:val="32"/>
          <w:shd w:fill="auto" w:val="clear"/>
        </w:rPr>
        <w:t xml:space="preserve">部门机构设置情况</w:t>
      </w:r>
    </w:p>
    <w:tbl>
      <w:tblPr/>
      <w:tblGrid>
        <w:gridCol w:w="3711"/>
        <w:gridCol w:w="1866"/>
        <w:gridCol w:w="1536"/>
        <w:gridCol w:w="2642"/>
      </w:tblGrid>
      <w:tr>
        <w:trPr>
          <w:trHeight w:val="300" w:hRule="auto"/>
          <w:jc w:val="center"/>
        </w:trPr>
        <w:tc>
          <w:tcPr>
            <w:tcW w:w="3711" w:type="dxa"/>
            <w:vMerge w:val="restart"/>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21"/>
                <w:shd w:fill="auto" w:val="clear"/>
              </w:rPr>
              <w:t xml:space="preserve">单位名称</w:t>
            </w:r>
          </w:p>
        </w:tc>
        <w:tc>
          <w:tcPr>
            <w:tcW w:w="1866" w:type="dxa"/>
            <w:vMerge w:val="restart"/>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21"/>
                <w:shd w:fill="auto" w:val="clear"/>
              </w:rPr>
              <w:t xml:space="preserve">单位性质</w:t>
            </w:r>
          </w:p>
        </w:tc>
        <w:tc>
          <w:tcPr>
            <w:tcW w:w="1536" w:type="dxa"/>
            <w:vMerge w:val="restart"/>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21"/>
                <w:shd w:fill="auto" w:val="clear"/>
              </w:rPr>
              <w:t xml:space="preserve">单位规格</w:t>
            </w:r>
          </w:p>
        </w:tc>
        <w:tc>
          <w:tcPr>
            <w:tcW w:w="2642" w:type="dxa"/>
            <w:vMerge w:val="restart"/>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21"/>
                <w:shd w:fill="auto" w:val="clear"/>
              </w:rPr>
              <w:t xml:space="preserve">经费保障形式</w:t>
            </w:r>
          </w:p>
        </w:tc>
      </w:tr>
      <w:tr>
        <w:trPr>
          <w:trHeight w:val="300" w:hRule="auto"/>
          <w:jc w:val="center"/>
        </w:trPr>
        <w:tc>
          <w:tcPr>
            <w:tcW w:w="3711"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866"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536"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642"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r>
      <w:tr>
        <w:trPr>
          <w:trHeight w:val="227" w:hRule="auto"/>
          <w:jc w:val="center"/>
        </w:trPr>
        <w:tc>
          <w:tcPr>
            <w:tcW w:w="3711"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color w:val="auto"/>
                <w:spacing w:val="0"/>
                <w:position w:val="0"/>
              </w:rPr>
            </w:pPr>
            <w:r>
              <w:rPr>
                <w:rFonts w:ascii="仿宋" w:hAnsi="仿宋" w:cs="仿宋" w:eastAsia="仿宋"/>
                <w:color w:val="auto"/>
                <w:spacing w:val="0"/>
                <w:position w:val="0"/>
                <w:sz w:val="21"/>
                <w:shd w:fill="auto" w:val="clear"/>
              </w:rPr>
              <w:t xml:space="preserve">霸州市粮食局</w:t>
            </w:r>
          </w:p>
        </w:tc>
        <w:tc>
          <w:tcPr>
            <w:tcW w:w="186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color w:val="auto"/>
                <w:spacing w:val="0"/>
                <w:position w:val="0"/>
              </w:rPr>
            </w:pPr>
            <w:r>
              <w:rPr>
                <w:rFonts w:ascii="仿宋" w:hAnsi="仿宋" w:cs="仿宋" w:eastAsia="仿宋"/>
                <w:color w:val="auto"/>
                <w:spacing w:val="0"/>
                <w:position w:val="0"/>
                <w:sz w:val="21"/>
                <w:shd w:fill="auto" w:val="clear"/>
              </w:rPr>
              <w:t xml:space="preserve">行政</w:t>
            </w:r>
          </w:p>
        </w:tc>
        <w:tc>
          <w:tcPr>
            <w:tcW w:w="153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color w:val="auto"/>
                <w:spacing w:val="0"/>
                <w:position w:val="0"/>
              </w:rPr>
            </w:pPr>
            <w:r>
              <w:rPr>
                <w:rFonts w:ascii="仿宋" w:hAnsi="仿宋" w:cs="仿宋" w:eastAsia="仿宋"/>
                <w:color w:val="auto"/>
                <w:spacing w:val="0"/>
                <w:position w:val="0"/>
                <w:sz w:val="21"/>
                <w:shd w:fill="auto" w:val="clear"/>
              </w:rPr>
              <w:t xml:space="preserve">正科级</w:t>
            </w:r>
          </w:p>
        </w:tc>
        <w:tc>
          <w:tcPr>
            <w:tcW w:w="2642"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color w:val="auto"/>
                <w:spacing w:val="0"/>
                <w:position w:val="0"/>
              </w:rPr>
            </w:pPr>
            <w:r>
              <w:rPr>
                <w:rFonts w:ascii="仿宋" w:hAnsi="仿宋" w:cs="仿宋" w:eastAsia="仿宋"/>
                <w:color w:val="auto"/>
                <w:spacing w:val="0"/>
                <w:position w:val="0"/>
                <w:sz w:val="21"/>
                <w:shd w:fill="auto" w:val="clear"/>
              </w:rPr>
              <w:t xml:space="preserve">财政拨款</w:t>
            </w:r>
          </w:p>
        </w:tc>
      </w:tr>
    </w:tbl>
    <w:p>
      <w:pPr>
        <w:spacing w:before="0" w:after="0" w:line="24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二、部门预算安排的总体情况</w:t>
      </w:r>
    </w:p>
    <w:p>
      <w:pPr>
        <w:spacing w:before="0" w:after="0" w:line="24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按照预算管理有关规定，目前我市部门预算的编制实行综合预算制度，即全部收入和支出都反映在预算中。</w:t>
      </w:r>
    </w:p>
    <w:p>
      <w:pPr>
        <w:spacing w:before="0" w:after="0" w:line="240"/>
        <w:ind w:right="0" w:left="0" w:firstLine="640"/>
        <w:jc w:val="both"/>
        <w:rPr>
          <w:rFonts w:ascii="楷体_GB2312" w:hAnsi="楷体_GB2312" w:cs="楷体_GB2312" w:eastAsia="楷体_GB2312"/>
          <w:b/>
          <w:color w:val="auto"/>
          <w:spacing w:val="0"/>
          <w:position w:val="0"/>
          <w:sz w:val="32"/>
          <w:shd w:fill="auto" w:val="clear"/>
        </w:rPr>
      </w:pPr>
      <w:r>
        <w:rPr>
          <w:rFonts w:ascii="楷体_GB2312" w:hAnsi="楷体_GB2312" w:cs="楷体_GB2312" w:eastAsia="楷体_GB2312"/>
          <w:b/>
          <w:color w:val="auto"/>
          <w:spacing w:val="0"/>
          <w:position w:val="0"/>
          <w:sz w:val="32"/>
          <w:shd w:fill="auto" w:val="clear"/>
        </w:rPr>
        <w:t xml:space="preserve">1</w:t>
      </w:r>
      <w:r>
        <w:rPr>
          <w:rFonts w:ascii="宋体" w:hAnsi="宋体" w:cs="宋体" w:eastAsia="宋体"/>
          <w:b/>
          <w:color w:val="auto"/>
          <w:spacing w:val="0"/>
          <w:position w:val="0"/>
          <w:sz w:val="32"/>
          <w:shd w:fill="auto" w:val="clear"/>
        </w:rPr>
        <w:t xml:space="preserve">、收入说明</w:t>
      </w:r>
    </w:p>
    <w:p>
      <w:pPr>
        <w:spacing w:before="0" w:after="0" w:line="24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反映本部门当年全部收入。2018年预算收入206.90万元，其中：一般公共预算收入206.90万元，政府性基金预算收入0万元，国有资本经营预算收入0万元，上级补助收入0万元，事业收入0万元，经营收入0万元，附属单位上缴收入0万元，其他收入0万元。</w:t>
      </w:r>
    </w:p>
    <w:p>
      <w:pPr>
        <w:spacing w:before="0" w:after="0" w:line="240"/>
        <w:ind w:right="0" w:left="0" w:firstLine="640"/>
        <w:jc w:val="both"/>
        <w:rPr>
          <w:rFonts w:ascii="楷体_GB2312" w:hAnsi="楷体_GB2312" w:cs="楷体_GB2312" w:eastAsia="楷体_GB2312"/>
          <w:b/>
          <w:color w:val="auto"/>
          <w:spacing w:val="0"/>
          <w:position w:val="0"/>
          <w:sz w:val="32"/>
          <w:shd w:fill="auto" w:val="clear"/>
        </w:rPr>
      </w:pPr>
      <w:r>
        <w:rPr>
          <w:rFonts w:ascii="楷体_GB2312" w:hAnsi="楷体_GB2312" w:cs="楷体_GB2312" w:eastAsia="楷体_GB2312"/>
          <w:b/>
          <w:color w:val="auto"/>
          <w:spacing w:val="0"/>
          <w:position w:val="0"/>
          <w:sz w:val="32"/>
          <w:shd w:fill="auto" w:val="clear"/>
        </w:rPr>
        <w:t xml:space="preserve">2</w:t>
      </w:r>
      <w:r>
        <w:rPr>
          <w:rFonts w:ascii="宋体" w:hAnsi="宋体" w:cs="宋体" w:eastAsia="宋体"/>
          <w:b/>
          <w:color w:val="auto"/>
          <w:spacing w:val="0"/>
          <w:position w:val="0"/>
          <w:sz w:val="32"/>
          <w:shd w:fill="auto" w:val="clear"/>
        </w:rPr>
        <w:t xml:space="preserve">、支出说明</w:t>
      </w:r>
    </w:p>
    <w:p>
      <w:pPr>
        <w:spacing w:before="0" w:after="0" w:line="24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收支预算总表支出栏、基本支出表、项目支出表按经济分类和支出功能分类科目编制，反映霸州市粮食局2018年度部门预算中支出预算的总体情况。2018年本部门支出预算206.90万元，其中：基本支出206.90万元，包括：人员经费180.48万元和日常公用经费26.42万元；项目支出0万元；上缴上级支出0万元，经营支出0万元，对附属单位补助支出0万元。</w:t>
      </w:r>
    </w:p>
    <w:p>
      <w:pPr>
        <w:spacing w:before="0" w:after="0" w:line="240"/>
        <w:ind w:right="0" w:left="0" w:firstLine="640"/>
        <w:jc w:val="both"/>
        <w:rPr>
          <w:rFonts w:ascii="楷体_GB2312" w:hAnsi="楷体_GB2312" w:cs="楷体_GB2312" w:eastAsia="楷体_GB2312"/>
          <w:b/>
          <w:color w:val="auto"/>
          <w:spacing w:val="0"/>
          <w:position w:val="0"/>
          <w:sz w:val="32"/>
          <w:shd w:fill="auto" w:val="clear"/>
        </w:rPr>
      </w:pPr>
      <w:r>
        <w:rPr>
          <w:rFonts w:ascii="楷体_GB2312" w:hAnsi="楷体_GB2312" w:cs="楷体_GB2312" w:eastAsia="楷体_GB2312"/>
          <w:b/>
          <w:color w:val="auto"/>
          <w:spacing w:val="0"/>
          <w:position w:val="0"/>
          <w:sz w:val="32"/>
          <w:shd w:fill="auto" w:val="clear"/>
        </w:rPr>
        <w:t xml:space="preserve">3</w:t>
      </w:r>
      <w:r>
        <w:rPr>
          <w:rFonts w:ascii="宋体" w:hAnsi="宋体" w:cs="宋体" w:eastAsia="宋体"/>
          <w:b/>
          <w:color w:val="auto"/>
          <w:spacing w:val="0"/>
          <w:position w:val="0"/>
          <w:sz w:val="32"/>
          <w:shd w:fill="auto" w:val="clear"/>
        </w:rPr>
        <w:t xml:space="preserve">、比上年增减情况</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2018年预算收支安排206.90万元，较2017年预算减少27.62万元，其中：基本支出增加32.38万元，主要</w:t>
      </w:r>
      <w:r>
        <w:rPr>
          <w:rFonts w:ascii="仿宋" w:hAnsi="仿宋" w:cs="仿宋" w:eastAsia="仿宋"/>
          <w:color w:val="auto"/>
          <w:spacing w:val="0"/>
          <w:position w:val="0"/>
          <w:sz w:val="32"/>
          <w:shd w:fill="auto" w:val="clear"/>
        </w:rPr>
        <w:t xml:space="preserve">为增加人员经费支出</w:t>
      </w:r>
      <w:r>
        <w:rPr>
          <w:rFonts w:ascii="仿宋" w:hAnsi="仿宋" w:cs="仿宋" w:eastAsia="仿宋"/>
          <w:color w:val="000000"/>
          <w:spacing w:val="0"/>
          <w:position w:val="0"/>
          <w:sz w:val="32"/>
          <w:shd w:fill="auto" w:val="clear"/>
        </w:rPr>
        <w:t xml:space="preserve">；项目支出减少60万元，主要为无项目支出。</w:t>
      </w:r>
    </w:p>
    <w:p>
      <w:pPr>
        <w:spacing w:before="0" w:after="0" w:line="24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三、机关运行经费安排情况</w:t>
      </w:r>
    </w:p>
    <w:p>
      <w:pPr>
        <w:spacing w:before="0" w:after="0" w:line="24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机关运行经费共计安排26.42万元，主要用于办公区的日常维修、办公用房水电费、办公用房取暖费、办公及印刷费，邮电费、差旅费、培训费、福利费、工会经费、公务接待费、专用材料及一般设备购置费、公务用车运行维护费等日常运行支出。</w:t>
      </w:r>
    </w:p>
    <w:p>
      <w:pPr>
        <w:spacing w:before="0" w:after="0" w:line="24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四、财政拨款“三公”经费预算情况及增减变化原因</w:t>
      </w:r>
    </w:p>
    <w:p>
      <w:pPr>
        <w:spacing w:before="0" w:after="0" w:line="24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2018年，我部门“三公”经费预算安排2.66万元，其中：因公出国（境）费0万元；公务用车购置及运维费2.50万元（其中：公务用车购置费0万元，公务用车运行维护费2.50万元)；公务接待费0.16万元，较2017年“三公”经费减0.01万元，主要是因为因公出国（境）费与2017年持平，无增减变化；公务用车运行维护费与2017年持平，无增减变化；公务接待费减少0.01万元，减少原因为认真贯彻落实中央关于厉行节约的要求，严格控制公务接待标准及次数。</w:t>
      </w:r>
    </w:p>
    <w:p>
      <w:pPr>
        <w:spacing w:before="0" w:after="0" w:line="24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五、绩效预算信息</w:t>
      </w:r>
    </w:p>
    <w:p>
      <w:pPr>
        <w:spacing w:before="0" w:after="0" w:line="240"/>
        <w:ind w:right="0" w:left="0" w:firstLine="643"/>
        <w:jc w:val="left"/>
        <w:rPr>
          <w:rFonts w:ascii="楷体_GB2312" w:hAnsi="楷体_GB2312" w:cs="楷体_GB2312" w:eastAsia="楷体_GB2312"/>
          <w:b/>
          <w:color w:val="auto"/>
          <w:spacing w:val="0"/>
          <w:position w:val="0"/>
          <w:sz w:val="32"/>
          <w:shd w:fill="auto" w:val="clear"/>
        </w:rPr>
      </w:pPr>
      <w:r>
        <w:rPr>
          <w:rFonts w:ascii="宋体" w:hAnsi="宋体" w:cs="宋体" w:eastAsia="宋体"/>
          <w:b/>
          <w:color w:val="auto"/>
          <w:spacing w:val="0"/>
          <w:position w:val="0"/>
          <w:sz w:val="32"/>
          <w:shd w:fill="auto" w:val="clear"/>
        </w:rPr>
        <w:t xml:space="preserve">总体绩效目标：</w:t>
      </w:r>
    </w:p>
    <w:p>
      <w:pPr>
        <w:spacing w:before="0" w:after="0" w:line="520"/>
        <w:ind w:right="0" w:left="0" w:firstLine="640"/>
        <w:jc w:val="left"/>
        <w:rPr>
          <w:rFonts w:ascii="仿宋" w:hAnsi="仿宋" w:cs="仿宋" w:eastAsia="仿宋"/>
          <w:b/>
          <w:color w:val="auto"/>
          <w:spacing w:val="0"/>
          <w:position w:val="0"/>
          <w:sz w:val="32"/>
          <w:shd w:fill="auto" w:val="clear"/>
        </w:rPr>
      </w:pPr>
      <w:r>
        <w:rPr>
          <w:rFonts w:ascii="仿宋" w:hAnsi="仿宋" w:cs="仿宋" w:eastAsia="仿宋"/>
          <w:color w:val="auto"/>
          <w:spacing w:val="0"/>
          <w:position w:val="0"/>
          <w:sz w:val="32"/>
          <w:shd w:fill="auto" w:val="clear"/>
        </w:rPr>
        <w:t xml:space="preserve">确保夏秋粮收购政策落实到位，不出现“卖粮难”；落实国家供应政策，确保军需民用；落实粮食储备政策，确保数量,确保粮食产、购、销、存、加等数据以及仓储设施、国有资产、经济效益等宏观信息及时上报、汇总，保证数据信息全面、完整、正确、及时。确保夏秋粮收购政策落实到位，不出现“卖粮难”；落实国家供应政策，确保军需民用；落实粮食储备政策，确保数量。</w:t>
      </w:r>
    </w:p>
    <w:p>
      <w:pPr>
        <w:spacing w:before="0" w:after="0" w:line="240"/>
        <w:ind w:right="0" w:left="0" w:firstLine="643"/>
        <w:jc w:val="left"/>
        <w:rPr>
          <w:rFonts w:ascii="楷体_GB2312" w:hAnsi="楷体_GB2312" w:cs="楷体_GB2312" w:eastAsia="楷体_GB2312"/>
          <w:b/>
          <w:color w:val="auto"/>
          <w:spacing w:val="0"/>
          <w:position w:val="0"/>
          <w:sz w:val="32"/>
          <w:shd w:fill="auto" w:val="clear"/>
        </w:rPr>
      </w:pPr>
    </w:p>
    <w:p>
      <w:pPr>
        <w:spacing w:before="0" w:after="0" w:line="240"/>
        <w:ind w:right="0" w:left="0" w:firstLine="643"/>
        <w:jc w:val="left"/>
        <w:rPr>
          <w:rFonts w:ascii="楷体_GB2312" w:hAnsi="楷体_GB2312" w:cs="楷体_GB2312" w:eastAsia="楷体_GB2312"/>
          <w:b/>
          <w:color w:val="auto"/>
          <w:spacing w:val="0"/>
          <w:position w:val="0"/>
          <w:sz w:val="32"/>
          <w:shd w:fill="auto" w:val="clear"/>
        </w:rPr>
      </w:pPr>
    </w:p>
    <w:p>
      <w:pPr>
        <w:spacing w:before="0" w:after="0" w:line="240"/>
        <w:ind w:right="0" w:left="0" w:firstLine="643"/>
        <w:jc w:val="left"/>
        <w:rPr>
          <w:rFonts w:ascii="楷体_GB2312" w:hAnsi="楷体_GB2312" w:cs="楷体_GB2312" w:eastAsia="楷体_GB2312"/>
          <w:b/>
          <w:color w:val="auto"/>
          <w:spacing w:val="0"/>
          <w:position w:val="0"/>
          <w:sz w:val="32"/>
          <w:shd w:fill="auto" w:val="clear"/>
        </w:rPr>
      </w:pPr>
      <w:r>
        <w:rPr>
          <w:rFonts w:ascii="宋体" w:hAnsi="宋体" w:cs="宋体" w:eastAsia="宋体"/>
          <w:b/>
          <w:color w:val="auto"/>
          <w:spacing w:val="0"/>
          <w:position w:val="0"/>
          <w:sz w:val="32"/>
          <w:shd w:fill="auto" w:val="clear"/>
        </w:rPr>
        <w:t xml:space="preserve">部门职责及工作活动绩效目标指标：</w:t>
      </w:r>
    </w:p>
    <w:p>
      <w:pPr>
        <w:spacing w:before="0" w:after="0" w:line="240"/>
        <w:ind w:right="0" w:left="0" w:firstLine="0"/>
        <w:jc w:val="center"/>
        <w:rPr>
          <w:rFonts w:ascii="方正小标宋_GBK" w:hAnsi="方正小标宋_GBK" w:cs="方正小标宋_GBK" w:eastAsia="方正小标宋_GBK"/>
          <w:color w:val="auto"/>
          <w:spacing w:val="0"/>
          <w:position w:val="0"/>
          <w:sz w:val="32"/>
          <w:shd w:fill="auto" w:val="clear"/>
        </w:rPr>
      </w:pPr>
    </w:p>
    <w:p>
      <w:pPr>
        <w:spacing w:before="0" w:after="0" w:line="240"/>
        <w:ind w:right="0" w:left="0" w:firstLine="0"/>
        <w:jc w:val="center"/>
        <w:rPr>
          <w:rFonts w:ascii="方正小标宋_GBK" w:hAnsi="方正小标宋_GBK" w:cs="方正小标宋_GBK" w:eastAsia="方正小标宋_GBK"/>
          <w:color w:val="auto"/>
          <w:spacing w:val="0"/>
          <w:position w:val="0"/>
          <w:sz w:val="32"/>
          <w:shd w:fill="auto" w:val="clear"/>
        </w:rPr>
      </w:pPr>
      <w:r>
        <w:rPr>
          <w:rFonts w:ascii="宋体" w:hAnsi="宋体" w:cs="宋体" w:eastAsia="宋体"/>
          <w:color w:val="auto"/>
          <w:spacing w:val="0"/>
          <w:position w:val="0"/>
          <w:sz w:val="32"/>
          <w:shd w:fill="auto" w:val="clear"/>
        </w:rPr>
        <w:t xml:space="preserve">部门职责</w:t>
      </w:r>
      <w:r>
        <w:rPr>
          <w:rFonts w:ascii="方正小标宋_GBK" w:hAnsi="方正小标宋_GBK" w:cs="方正小标宋_GBK" w:eastAsia="方正小标宋_GBK"/>
          <w:color w:val="auto"/>
          <w:spacing w:val="0"/>
          <w:position w:val="0"/>
          <w:sz w:val="32"/>
          <w:shd w:fill="auto" w:val="clear"/>
        </w:rPr>
        <w:t xml:space="preserve">-</w:t>
      </w:r>
      <w:r>
        <w:rPr>
          <w:rFonts w:ascii="宋体" w:hAnsi="宋体" w:cs="宋体" w:eastAsia="宋体"/>
          <w:color w:val="auto"/>
          <w:spacing w:val="0"/>
          <w:position w:val="0"/>
          <w:sz w:val="32"/>
          <w:shd w:fill="auto" w:val="clear"/>
        </w:rPr>
        <w:t xml:space="preserve">工作活动绩效目标</w:t>
      </w:r>
    </w:p>
    <w:tbl>
      <w:tblPr/>
      <w:tblGrid>
        <w:gridCol w:w="2341"/>
        <w:gridCol w:w="1276"/>
        <w:gridCol w:w="2976"/>
        <w:gridCol w:w="2976"/>
        <w:gridCol w:w="1417"/>
        <w:gridCol w:w="737"/>
        <w:gridCol w:w="737"/>
        <w:gridCol w:w="737"/>
        <w:gridCol w:w="737"/>
      </w:tblGrid>
      <w:tr>
        <w:trPr>
          <w:trHeight w:val="227" w:hRule="auto"/>
          <w:jc w:val="center"/>
        </w:trPr>
        <w:tc>
          <w:tcPr>
            <w:tcW w:w="10986" w:type="dxa"/>
            <w:gridSpan w:val="5"/>
            <w:tcBorders>
              <w:top w:val="single" w:color="ffffff" w:sz="6"/>
              <w:left w:val="single" w:color="ffffff" w:sz="6"/>
              <w:bottom w:val="single" w:color="000000" w:sz="6"/>
              <w:right w:val="single" w:color="ffffff" w:sz="6"/>
            </w:tcBorders>
            <w:shd w:color="auto" w:fill="auto" w:val="clear"/>
            <w:tcMar>
              <w:left w:w="108" w:type="dxa"/>
              <w:right w:w="108" w:type="dxa"/>
            </w:tcMar>
            <w:vAlign w:val="center"/>
          </w:tcPr>
          <w:p>
            <w:pPr>
              <w:spacing w:before="0" w:after="0" w:line="300"/>
              <w:ind w:right="0" w:left="0" w:firstLine="0"/>
              <w:jc w:val="left"/>
              <w:rPr>
                <w:color w:val="auto"/>
                <w:spacing w:val="0"/>
                <w:position w:val="0"/>
              </w:rPr>
            </w:pPr>
            <w:r>
              <w:rPr>
                <w:rFonts w:ascii="方正小标宋_GBK" w:hAnsi="方正小标宋_GBK" w:cs="方正小标宋_GBK" w:eastAsia="方正小标宋_GBK"/>
                <w:color w:val="auto"/>
                <w:spacing w:val="0"/>
                <w:position w:val="0"/>
                <w:sz w:val="18"/>
                <w:shd w:fill="auto" w:val="clear"/>
              </w:rPr>
              <w:t xml:space="preserve">811</w:t>
            </w:r>
            <w:r>
              <w:rPr>
                <w:rFonts w:ascii="宋体" w:hAnsi="宋体" w:cs="宋体" w:eastAsia="宋体"/>
                <w:color w:val="auto"/>
                <w:spacing w:val="0"/>
                <w:position w:val="0"/>
                <w:sz w:val="18"/>
                <w:shd w:fill="auto" w:val="clear"/>
              </w:rPr>
              <w:t xml:space="preserve">霸州市粮食局</w:t>
            </w:r>
          </w:p>
        </w:tc>
        <w:tc>
          <w:tcPr>
            <w:tcW w:w="2948" w:type="dxa"/>
            <w:gridSpan w:val="4"/>
            <w:tcBorders>
              <w:top w:val="single" w:color="ffffff" w:sz="6"/>
              <w:left w:val="single" w:color="ffffff" w:sz="6"/>
              <w:bottom w:val="single" w:color="000000" w:sz="6"/>
              <w:right w:val="single" w:color="ffffff" w:sz="6"/>
            </w:tcBorders>
            <w:shd w:color="auto" w:fill="auto" w:val="clear"/>
            <w:tcMar>
              <w:left w:w="108" w:type="dxa"/>
              <w:right w:w="108" w:type="dxa"/>
            </w:tcMar>
            <w:vAlign w:val="center"/>
          </w:tcPr>
          <w:p>
            <w:pPr>
              <w:spacing w:before="0" w:after="0" w:line="300"/>
              <w:ind w:right="0" w:left="0" w:firstLine="0"/>
              <w:jc w:val="right"/>
              <w:rPr>
                <w:rFonts w:ascii="宋体" w:hAnsi="宋体" w:cs="宋体" w:eastAsia="宋体"/>
                <w:color w:val="auto"/>
                <w:spacing w:val="0"/>
                <w:position w:val="0"/>
              </w:rPr>
            </w:pPr>
            <w:r>
              <w:rPr>
                <w:rFonts w:ascii="宋体" w:hAnsi="宋体" w:cs="宋体" w:eastAsia="宋体"/>
                <w:color w:val="auto"/>
                <w:spacing w:val="0"/>
                <w:position w:val="0"/>
                <w:sz w:val="18"/>
                <w:shd w:fill="auto" w:val="clear"/>
              </w:rPr>
              <w:t xml:space="preserve">单位：万元</w:t>
            </w:r>
          </w:p>
        </w:tc>
      </w:tr>
      <w:tr>
        <w:trPr>
          <w:trHeight w:val="227" w:hRule="auto"/>
          <w:jc w:val="center"/>
        </w:trPr>
        <w:tc>
          <w:tcPr>
            <w:tcW w:w="2341" w:type="dxa"/>
            <w:vMerge w:val="restart"/>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18"/>
                <w:shd w:fill="auto" w:val="clear"/>
              </w:rPr>
              <w:t xml:space="preserve">职责活动</w:t>
            </w:r>
          </w:p>
        </w:tc>
        <w:tc>
          <w:tcPr>
            <w:tcW w:w="1276" w:type="dxa"/>
            <w:vMerge w:val="restart"/>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18"/>
                <w:shd w:fill="auto" w:val="clear"/>
              </w:rPr>
              <w:t xml:space="preserve">年度预算数</w:t>
            </w:r>
          </w:p>
        </w:tc>
        <w:tc>
          <w:tcPr>
            <w:tcW w:w="2976" w:type="dxa"/>
            <w:vMerge w:val="restart"/>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18"/>
                <w:shd w:fill="auto" w:val="clear"/>
              </w:rPr>
              <w:t xml:space="preserve">内容描述</w:t>
            </w:r>
          </w:p>
        </w:tc>
        <w:tc>
          <w:tcPr>
            <w:tcW w:w="2976" w:type="dxa"/>
            <w:vMerge w:val="restart"/>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18"/>
                <w:shd w:fill="auto" w:val="clear"/>
              </w:rPr>
              <w:t xml:space="preserve">绩效目标</w:t>
            </w:r>
          </w:p>
        </w:tc>
        <w:tc>
          <w:tcPr>
            <w:tcW w:w="1417" w:type="dxa"/>
            <w:vMerge w:val="restart"/>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18"/>
                <w:shd w:fill="auto" w:val="clear"/>
              </w:rPr>
              <w:t xml:space="preserve">绩效指标</w:t>
            </w:r>
          </w:p>
        </w:tc>
        <w:tc>
          <w:tcPr>
            <w:tcW w:w="2948" w:type="dxa"/>
            <w:gridSpan w:val="4"/>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18"/>
                <w:shd w:fill="auto" w:val="clear"/>
              </w:rPr>
              <w:t xml:space="preserve">评价标准</w:t>
            </w:r>
          </w:p>
        </w:tc>
      </w:tr>
      <w:tr>
        <w:trPr>
          <w:trHeight w:val="227" w:hRule="auto"/>
          <w:jc w:val="center"/>
        </w:trPr>
        <w:tc>
          <w:tcPr>
            <w:tcW w:w="2341"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276"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976"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2976"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1417" w:type="dxa"/>
            <w:vMerge/>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200" w:line="276"/>
              <w:ind w:right="0" w:left="0" w:firstLine="0"/>
              <w:jc w:val="left"/>
              <w:rPr>
                <w:rFonts w:ascii="宋体" w:hAnsi="宋体" w:cs="宋体" w:eastAsia="宋体"/>
                <w:color w:val="auto"/>
                <w:spacing w:val="0"/>
                <w:position w:val="0"/>
                <w:sz w:val="22"/>
                <w:shd w:fill="auto" w:val="clear"/>
              </w:rPr>
            </w:pPr>
          </w:p>
        </w:tc>
        <w:tc>
          <w:tcPr>
            <w:tcW w:w="73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18"/>
                <w:shd w:fill="auto" w:val="clear"/>
              </w:rPr>
              <w:t xml:space="preserve">优</w:t>
            </w:r>
          </w:p>
        </w:tc>
        <w:tc>
          <w:tcPr>
            <w:tcW w:w="73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18"/>
                <w:shd w:fill="auto" w:val="clear"/>
              </w:rPr>
              <w:t xml:space="preserve">良</w:t>
            </w:r>
          </w:p>
        </w:tc>
        <w:tc>
          <w:tcPr>
            <w:tcW w:w="73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18"/>
                <w:shd w:fill="auto" w:val="clear"/>
              </w:rPr>
              <w:t xml:space="preserve">中</w:t>
            </w:r>
          </w:p>
        </w:tc>
        <w:tc>
          <w:tcPr>
            <w:tcW w:w="73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18"/>
                <w:shd w:fill="auto" w:val="clear"/>
              </w:rPr>
              <w:t xml:space="preserve">差</w:t>
            </w:r>
          </w:p>
        </w:tc>
      </w:tr>
      <w:tr>
        <w:trPr>
          <w:trHeight w:val="1451" w:hRule="auto"/>
          <w:jc w:val="center"/>
        </w:trPr>
        <w:tc>
          <w:tcPr>
            <w:tcW w:w="2341"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left"/>
              <w:rPr>
                <w:color w:val="auto"/>
                <w:spacing w:val="0"/>
                <w:position w:val="0"/>
              </w:rPr>
            </w:pPr>
            <w:r>
              <w:rPr>
                <w:rFonts w:ascii="仿宋" w:hAnsi="仿宋" w:cs="仿宋" w:eastAsia="仿宋"/>
                <w:b/>
                <w:color w:val="auto"/>
                <w:spacing w:val="0"/>
                <w:position w:val="0"/>
                <w:sz w:val="21"/>
                <w:shd w:fill="auto" w:val="clear"/>
              </w:rPr>
              <w:t xml:space="preserve">粮食调控管理</w:t>
            </w:r>
          </w:p>
        </w:tc>
        <w:tc>
          <w:tcPr>
            <w:tcW w:w="127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left"/>
              <w:rPr>
                <w:rFonts w:ascii="宋体" w:hAnsi="宋体" w:cs="宋体" w:eastAsia="宋体"/>
                <w:color w:val="auto"/>
                <w:spacing w:val="0"/>
                <w:position w:val="0"/>
                <w:sz w:val="22"/>
                <w:shd w:fill="auto" w:val="clear"/>
              </w:rPr>
            </w:pPr>
          </w:p>
        </w:tc>
        <w:tc>
          <w:tcPr>
            <w:tcW w:w="297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left"/>
              <w:rPr>
                <w:color w:val="auto"/>
                <w:spacing w:val="0"/>
                <w:position w:val="0"/>
              </w:rPr>
            </w:pPr>
            <w:r>
              <w:rPr>
                <w:rFonts w:ascii="仿宋" w:hAnsi="仿宋" w:cs="仿宋" w:eastAsia="仿宋"/>
                <w:color w:val="auto"/>
                <w:spacing w:val="0"/>
                <w:position w:val="0"/>
                <w:sz w:val="21"/>
                <w:shd w:fill="auto" w:val="clear"/>
              </w:rPr>
              <w:t xml:space="preserve">落实、拟定粮食购销政策，拟定粮食流通发展规划，总量及品种平衡计划，落实粮食最低收购价政策，保证军供等政策性粮食供应，负责省储粮行政管理，确保粮食流通规范有序</w:t>
            </w:r>
          </w:p>
        </w:tc>
        <w:tc>
          <w:tcPr>
            <w:tcW w:w="297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left"/>
              <w:rPr>
                <w:color w:val="auto"/>
                <w:spacing w:val="0"/>
                <w:position w:val="0"/>
              </w:rPr>
            </w:pPr>
            <w:r>
              <w:rPr>
                <w:rFonts w:ascii="仿宋" w:hAnsi="仿宋" w:cs="仿宋" w:eastAsia="仿宋"/>
                <w:color w:val="auto"/>
                <w:spacing w:val="0"/>
                <w:position w:val="0"/>
                <w:sz w:val="21"/>
                <w:shd w:fill="auto" w:val="clear"/>
              </w:rPr>
              <w:t xml:space="preserve">确保夏秋粮收购政策落实到位，不出现“卖粮难”；落实国家供应政策，确保军需民用；落实粮食储备政策，确保数量真实、质量良好、存储安全</w:t>
            </w:r>
          </w:p>
        </w:tc>
        <w:tc>
          <w:tcPr>
            <w:tcW w:w="141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left"/>
              <w:rPr>
                <w:rFonts w:ascii="宋体" w:hAnsi="宋体" w:cs="宋体" w:eastAsia="宋体"/>
                <w:color w:val="auto"/>
                <w:spacing w:val="0"/>
                <w:position w:val="0"/>
                <w:sz w:val="22"/>
                <w:shd w:fill="auto" w:val="clear"/>
              </w:rPr>
            </w:pPr>
          </w:p>
        </w:tc>
        <w:tc>
          <w:tcPr>
            <w:tcW w:w="73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73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73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c>
          <w:tcPr>
            <w:tcW w:w="73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rFonts w:ascii="宋体" w:hAnsi="宋体" w:cs="宋体" w:eastAsia="宋体"/>
                <w:color w:val="auto"/>
                <w:spacing w:val="0"/>
                <w:position w:val="0"/>
                <w:sz w:val="22"/>
                <w:shd w:fill="auto" w:val="clear"/>
              </w:rPr>
            </w:pPr>
          </w:p>
        </w:tc>
      </w:tr>
      <w:tr>
        <w:trPr>
          <w:trHeight w:val="966" w:hRule="auto"/>
          <w:jc w:val="center"/>
        </w:trPr>
        <w:tc>
          <w:tcPr>
            <w:tcW w:w="2341"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left"/>
              <w:rPr>
                <w:color w:val="auto"/>
                <w:spacing w:val="0"/>
                <w:position w:val="0"/>
              </w:rPr>
            </w:pPr>
            <w:r>
              <w:rPr>
                <w:rFonts w:ascii="仿宋" w:hAnsi="仿宋" w:cs="仿宋" w:eastAsia="仿宋"/>
                <w:b/>
                <w:color w:val="auto"/>
                <w:spacing w:val="0"/>
                <w:position w:val="0"/>
                <w:sz w:val="21"/>
                <w:shd w:fill="auto" w:val="clear"/>
              </w:rPr>
              <w:t xml:space="preserve">储备粮管理</w:t>
            </w:r>
          </w:p>
        </w:tc>
        <w:tc>
          <w:tcPr>
            <w:tcW w:w="127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left"/>
              <w:rPr>
                <w:rFonts w:ascii="宋体" w:hAnsi="宋体" w:cs="宋体" w:eastAsia="宋体"/>
                <w:color w:val="auto"/>
                <w:spacing w:val="0"/>
                <w:position w:val="0"/>
                <w:sz w:val="22"/>
                <w:shd w:fill="auto" w:val="clear"/>
              </w:rPr>
            </w:pPr>
          </w:p>
        </w:tc>
        <w:tc>
          <w:tcPr>
            <w:tcW w:w="297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left"/>
              <w:rPr>
                <w:color w:val="auto"/>
                <w:spacing w:val="0"/>
                <w:position w:val="0"/>
              </w:rPr>
            </w:pPr>
            <w:r>
              <w:rPr>
                <w:rFonts w:ascii="仿宋" w:hAnsi="仿宋" w:cs="仿宋" w:eastAsia="仿宋"/>
                <w:color w:val="auto"/>
                <w:spacing w:val="0"/>
                <w:position w:val="0"/>
                <w:sz w:val="21"/>
                <w:shd w:fill="auto" w:val="clear"/>
              </w:rPr>
              <w:t xml:space="preserve">监督检查县级储备粮的数量、质量和储存安全；提出县级储备粮规模、布局、轮换、动用建议；制定县级储备粮各项业务管理制度和相关技术规范并监督执行。</w:t>
            </w:r>
          </w:p>
        </w:tc>
        <w:tc>
          <w:tcPr>
            <w:tcW w:w="2976"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left"/>
              <w:rPr>
                <w:color w:val="auto"/>
                <w:spacing w:val="0"/>
                <w:position w:val="0"/>
              </w:rPr>
            </w:pPr>
            <w:r>
              <w:rPr>
                <w:rFonts w:ascii="仿宋" w:hAnsi="仿宋" w:cs="仿宋" w:eastAsia="仿宋"/>
                <w:color w:val="auto"/>
                <w:spacing w:val="0"/>
                <w:position w:val="0"/>
                <w:sz w:val="21"/>
                <w:shd w:fill="auto" w:val="clear"/>
              </w:rPr>
              <w:t xml:space="preserve">收的进、储的好、用的上</w:t>
            </w:r>
          </w:p>
        </w:tc>
        <w:tc>
          <w:tcPr>
            <w:tcW w:w="141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left"/>
              <w:rPr>
                <w:color w:val="auto"/>
                <w:spacing w:val="0"/>
                <w:position w:val="0"/>
              </w:rPr>
            </w:pPr>
            <w:r>
              <w:rPr>
                <w:rFonts w:ascii="仿宋" w:hAnsi="仿宋" w:cs="仿宋" w:eastAsia="仿宋"/>
                <w:color w:val="auto"/>
                <w:spacing w:val="0"/>
                <w:position w:val="0"/>
                <w:sz w:val="21"/>
                <w:shd w:fill="auto" w:val="clear"/>
              </w:rPr>
              <w:t xml:space="preserve">储备粮质量良好率</w:t>
            </w:r>
          </w:p>
        </w:tc>
        <w:tc>
          <w:tcPr>
            <w:tcW w:w="73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color w:val="auto"/>
                <w:spacing w:val="0"/>
                <w:position w:val="0"/>
              </w:rPr>
            </w:pPr>
            <w:r>
              <w:rPr>
                <w:rFonts w:ascii="仿宋" w:hAnsi="仿宋" w:cs="仿宋" w:eastAsia="仿宋"/>
                <w:color w:val="auto"/>
                <w:spacing w:val="0"/>
                <w:position w:val="0"/>
                <w:sz w:val="21"/>
                <w:shd w:fill="auto" w:val="clear"/>
              </w:rPr>
              <w:t xml:space="preserve">100%</w:t>
            </w:r>
          </w:p>
        </w:tc>
        <w:tc>
          <w:tcPr>
            <w:tcW w:w="73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color w:val="auto"/>
                <w:spacing w:val="0"/>
                <w:position w:val="0"/>
              </w:rPr>
            </w:pPr>
            <w:r>
              <w:rPr>
                <w:rFonts w:ascii="仿宋" w:hAnsi="仿宋" w:cs="仿宋" w:eastAsia="仿宋"/>
                <w:color w:val="auto"/>
                <w:spacing w:val="0"/>
                <w:position w:val="0"/>
                <w:sz w:val="21"/>
                <w:shd w:fill="auto" w:val="clear"/>
              </w:rPr>
              <w:t xml:space="preserve">≥90%</w:t>
            </w:r>
          </w:p>
        </w:tc>
        <w:tc>
          <w:tcPr>
            <w:tcW w:w="73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color w:val="auto"/>
                <w:spacing w:val="0"/>
                <w:position w:val="0"/>
              </w:rPr>
            </w:pPr>
            <w:r>
              <w:rPr>
                <w:rFonts w:ascii="仿宋" w:hAnsi="仿宋" w:cs="仿宋" w:eastAsia="仿宋"/>
                <w:color w:val="auto"/>
                <w:spacing w:val="0"/>
                <w:position w:val="0"/>
                <w:sz w:val="21"/>
                <w:shd w:fill="auto" w:val="clear"/>
              </w:rPr>
              <w:t xml:space="preserve">≥85%</w:t>
            </w:r>
          </w:p>
        </w:tc>
        <w:tc>
          <w:tcPr>
            <w:tcW w:w="737" w:type="dxa"/>
            <w:tcBorders>
              <w:top w:val="single" w:color="000000" w:sz="6"/>
              <w:left w:val="single" w:color="000000" w:sz="6"/>
              <w:bottom w:val="single" w:color="000000" w:sz="6"/>
              <w:right w:val="single" w:color="000000" w:sz="6"/>
            </w:tcBorders>
            <w:shd w:color="auto" w:fill="auto" w:val="clear"/>
            <w:tcMar>
              <w:left w:w="108" w:type="dxa"/>
              <w:right w:w="108" w:type="dxa"/>
            </w:tcMar>
            <w:vAlign w:val="center"/>
          </w:tcPr>
          <w:p>
            <w:pPr>
              <w:spacing w:before="0" w:after="0" w:line="300"/>
              <w:ind w:right="0" w:left="0" w:firstLine="0"/>
              <w:jc w:val="center"/>
              <w:rPr>
                <w:color w:val="auto"/>
                <w:spacing w:val="0"/>
                <w:position w:val="0"/>
              </w:rPr>
            </w:pPr>
            <w:r>
              <w:rPr>
                <w:rFonts w:ascii="仿宋" w:hAnsi="仿宋" w:cs="仿宋" w:eastAsia="仿宋"/>
                <w:color w:val="auto"/>
                <w:spacing w:val="0"/>
                <w:position w:val="0"/>
                <w:sz w:val="21"/>
                <w:shd w:fill="auto" w:val="clear"/>
              </w:rPr>
              <w:t xml:space="preserve">＜85%</w:t>
            </w:r>
          </w:p>
        </w:tc>
      </w:tr>
    </w:tbl>
    <w:p>
      <w:pPr>
        <w:spacing w:before="0" w:after="0" w:line="24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六、政府采购预算情况</w:t>
      </w:r>
    </w:p>
    <w:p>
      <w:pPr>
        <w:spacing w:before="0" w:after="0" w:line="240"/>
        <w:ind w:right="0" w:left="0" w:firstLine="640"/>
        <w:jc w:val="both"/>
        <w:rPr>
          <w:rFonts w:ascii="仿宋" w:hAnsi="仿宋" w:cs="仿宋" w:eastAsia="仿宋"/>
          <w:color w:val="000000"/>
          <w:spacing w:val="0"/>
          <w:position w:val="0"/>
          <w:sz w:val="32"/>
          <w:shd w:fill="auto" w:val="clear"/>
        </w:rPr>
      </w:pPr>
      <w:r>
        <w:rPr>
          <w:rFonts w:ascii="仿宋" w:hAnsi="仿宋" w:cs="仿宋" w:eastAsia="仿宋"/>
          <w:color w:val="000000"/>
          <w:spacing w:val="0"/>
          <w:position w:val="0"/>
          <w:sz w:val="32"/>
          <w:shd w:fill="auto" w:val="clear"/>
        </w:rPr>
        <w:t xml:space="preserve">2018年，我部门无政府采购预算。</w:t>
      </w:r>
    </w:p>
    <w:p>
      <w:pPr>
        <w:spacing w:before="0" w:after="0" w:line="240"/>
        <w:ind w:right="0" w:left="0" w:firstLine="48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七、国有资产信息</w:t>
      </w:r>
    </w:p>
    <w:p>
      <w:pPr>
        <w:spacing w:before="0" w:after="0" w:line="240"/>
        <w:ind w:right="0" w:left="0" w:firstLine="640"/>
        <w:jc w:val="both"/>
        <w:rPr>
          <w:rFonts w:ascii="仿宋" w:hAnsi="仿宋" w:cs="仿宋" w:eastAsia="仿宋"/>
          <w:b/>
          <w:color w:val="FF0000"/>
          <w:spacing w:val="0"/>
          <w:position w:val="0"/>
          <w:sz w:val="32"/>
          <w:shd w:fill="auto" w:val="clear"/>
        </w:rPr>
      </w:pPr>
      <w:r>
        <w:rPr>
          <w:rFonts w:ascii="仿宋" w:hAnsi="仿宋" w:cs="仿宋" w:eastAsia="仿宋"/>
          <w:color w:val="auto"/>
          <w:spacing w:val="0"/>
          <w:position w:val="0"/>
          <w:sz w:val="32"/>
          <w:shd w:fill="auto" w:val="clear"/>
        </w:rPr>
        <w:t xml:space="preserve">霸州市粮食局上年末固定资产金额为128.37万元（详见下表）。</w:t>
      </w:r>
    </w:p>
    <w:p>
      <w:pPr>
        <w:spacing w:before="0" w:after="0" w:line="24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2018年，我部门无新增固定资产计划。</w:t>
      </w:r>
    </w:p>
    <w:tbl>
      <w:tblPr>
        <w:tblInd w:w="93" w:type="dxa"/>
      </w:tblPr>
      <w:tblGrid>
        <w:gridCol w:w="5224"/>
        <w:gridCol w:w="3155"/>
        <w:gridCol w:w="5103"/>
      </w:tblGrid>
      <w:tr>
        <w:trPr>
          <w:trHeight w:val="705" w:hRule="auto"/>
          <w:jc w:val="left"/>
        </w:trPr>
        <w:tc>
          <w:tcPr>
            <w:tcW w:w="13482" w:type="dxa"/>
            <w:gridSpan w:val="3"/>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b/>
                <w:color w:val="auto"/>
                <w:spacing w:val="0"/>
                <w:position w:val="0"/>
                <w:sz w:val="32"/>
                <w:shd w:fill="auto" w:val="clear"/>
              </w:rPr>
            </w:pPr>
          </w:p>
          <w:p>
            <w:pPr>
              <w:spacing w:before="0" w:after="0" w:line="240"/>
              <w:ind w:right="0" w:left="0" w:firstLine="0"/>
              <w:jc w:val="center"/>
              <w:rPr>
                <w:rFonts w:ascii="宋体" w:hAnsi="宋体" w:cs="宋体" w:eastAsia="宋体"/>
                <w:color w:val="auto"/>
                <w:spacing w:val="0"/>
                <w:position w:val="0"/>
              </w:rPr>
            </w:pPr>
            <w:r>
              <w:rPr>
                <w:rFonts w:ascii="宋体" w:hAnsi="宋体" w:cs="宋体" w:eastAsia="宋体"/>
                <w:b/>
                <w:color w:val="auto"/>
                <w:spacing w:val="0"/>
                <w:position w:val="0"/>
                <w:sz w:val="32"/>
                <w:shd w:fill="auto" w:val="clear"/>
              </w:rPr>
              <w:t xml:space="preserve">霸州市粮食局部门固定资产占用情况表</w:t>
            </w:r>
          </w:p>
        </w:tc>
      </w:tr>
      <w:tr>
        <w:trPr>
          <w:trHeight w:val="510" w:hRule="auto"/>
          <w:jc w:val="left"/>
        </w:trPr>
        <w:tc>
          <w:tcPr>
            <w:tcW w:w="8379"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rPr>
            </w:pPr>
            <w:r>
              <w:rPr>
                <w:rFonts w:ascii="宋体" w:hAnsi="宋体" w:cs="宋体" w:eastAsia="宋体"/>
                <w:color w:val="auto"/>
                <w:spacing w:val="0"/>
                <w:position w:val="0"/>
                <w:sz w:val="22"/>
                <w:shd w:fill="auto" w:val="clear"/>
              </w:rPr>
              <w:t xml:space="preserve">编制部门：811霸州市粮食局</w:t>
            </w:r>
          </w:p>
        </w:tc>
        <w:tc>
          <w:tcPr>
            <w:tcW w:w="510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center"/>
          </w:tcPr>
          <w:p>
            <w:pPr>
              <w:spacing w:before="0" w:after="0" w:line="240"/>
              <w:ind w:right="0" w:left="0" w:firstLine="1650"/>
              <w:jc w:val="left"/>
              <w:rPr>
                <w:rFonts w:ascii="宋体" w:hAnsi="宋体" w:cs="宋体" w:eastAsia="宋体"/>
                <w:color w:val="auto"/>
                <w:spacing w:val="0"/>
                <w:position w:val="0"/>
                <w:sz w:val="22"/>
              </w:rPr>
            </w:pPr>
            <w:r>
              <w:rPr>
                <w:rFonts w:ascii="宋体" w:hAnsi="宋体" w:cs="宋体" w:eastAsia="宋体"/>
                <w:color w:val="auto"/>
                <w:spacing w:val="0"/>
                <w:position w:val="0"/>
                <w:sz w:val="22"/>
                <w:shd w:fill="auto" w:val="clear"/>
              </w:rPr>
              <w:t xml:space="preserve">截止时间：2017年12月31日  </w:t>
            </w:r>
          </w:p>
        </w:tc>
      </w:tr>
      <w:tr>
        <w:trPr>
          <w:trHeight w:val="478" w:hRule="auto"/>
          <w:jc w:val="left"/>
        </w:trPr>
        <w:tc>
          <w:tcPr>
            <w:tcW w:w="52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rPr>
            </w:pPr>
            <w:r>
              <w:rPr>
                <w:rFonts w:ascii="宋体" w:hAnsi="宋体" w:cs="宋体" w:eastAsia="宋体"/>
                <w:b/>
                <w:color w:val="auto"/>
                <w:spacing w:val="0"/>
                <w:position w:val="0"/>
                <w:sz w:val="22"/>
                <w:shd w:fill="auto" w:val="clear"/>
              </w:rPr>
              <w:t xml:space="preserve">项   目</w:t>
            </w:r>
          </w:p>
        </w:tc>
        <w:tc>
          <w:tcPr>
            <w:tcW w:w="3155"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rPr>
            </w:pPr>
            <w:r>
              <w:rPr>
                <w:rFonts w:ascii="宋体" w:hAnsi="宋体" w:cs="宋体" w:eastAsia="宋体"/>
                <w:b/>
                <w:color w:val="auto"/>
                <w:spacing w:val="0"/>
                <w:position w:val="0"/>
                <w:sz w:val="22"/>
                <w:shd w:fill="auto" w:val="clear"/>
              </w:rPr>
              <w:t xml:space="preserve">数量</w:t>
            </w:r>
          </w:p>
        </w:tc>
        <w:tc>
          <w:tcPr>
            <w:tcW w:w="5103"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rPr>
            </w:pPr>
            <w:r>
              <w:rPr>
                <w:rFonts w:ascii="宋体" w:hAnsi="宋体" w:cs="宋体" w:eastAsia="宋体"/>
                <w:b/>
                <w:color w:val="auto"/>
                <w:spacing w:val="0"/>
                <w:position w:val="0"/>
                <w:sz w:val="22"/>
                <w:shd w:fill="auto" w:val="clear"/>
              </w:rPr>
              <w:t xml:space="preserve">价值（金额单位：万元）</w:t>
            </w:r>
          </w:p>
        </w:tc>
      </w:tr>
      <w:tr>
        <w:trPr>
          <w:trHeight w:val="543" w:hRule="auto"/>
          <w:jc w:val="left"/>
        </w:trPr>
        <w:tc>
          <w:tcPr>
            <w:tcW w:w="5224"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rPr>
            </w:pPr>
            <w:r>
              <w:rPr>
                <w:rFonts w:ascii="宋体" w:hAnsi="宋体" w:cs="宋体" w:eastAsia="宋体"/>
                <w:color w:val="auto"/>
                <w:spacing w:val="0"/>
                <w:position w:val="0"/>
                <w:sz w:val="22"/>
                <w:shd w:fill="auto" w:val="clear"/>
              </w:rPr>
              <w:t xml:space="preserve">资产总额</w:t>
            </w:r>
          </w:p>
        </w:tc>
        <w:tc>
          <w:tcPr>
            <w:tcW w:w="315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rPr>
            </w:pPr>
            <w:r>
              <w:rPr>
                <w:rFonts w:ascii="宋体" w:hAnsi="宋体" w:cs="宋体" w:eastAsia="宋体"/>
                <w:color w:val="auto"/>
                <w:spacing w:val="0"/>
                <w:position w:val="0"/>
                <w:sz w:val="22"/>
                <w:shd w:fill="auto" w:val="clear"/>
              </w:rPr>
              <w:t xml:space="preserve">——</w:t>
            </w:r>
          </w:p>
        </w:tc>
        <w:tc>
          <w:tcPr>
            <w:tcW w:w="5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rPr>
            </w:pPr>
            <w:r>
              <w:rPr>
                <w:rFonts w:ascii="宋体" w:hAnsi="宋体" w:cs="宋体" w:eastAsia="宋体"/>
                <w:color w:val="auto"/>
                <w:spacing w:val="0"/>
                <w:position w:val="0"/>
                <w:sz w:val="22"/>
                <w:shd w:fill="auto" w:val="clear"/>
              </w:rPr>
              <w:t xml:space="preserve">128.37</w:t>
            </w:r>
          </w:p>
        </w:tc>
      </w:tr>
      <w:tr>
        <w:trPr>
          <w:trHeight w:val="578" w:hRule="auto"/>
          <w:jc w:val="left"/>
        </w:trPr>
        <w:tc>
          <w:tcPr>
            <w:tcW w:w="5224"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rPr>
            </w:pPr>
            <w:r>
              <w:rPr>
                <w:rFonts w:ascii="宋体" w:hAnsi="宋体" w:cs="宋体" w:eastAsia="宋体"/>
                <w:color w:val="auto"/>
                <w:spacing w:val="0"/>
                <w:position w:val="0"/>
                <w:sz w:val="22"/>
                <w:shd w:fill="auto" w:val="clear"/>
              </w:rPr>
              <w:t xml:space="preserve">1、房屋（平方米）</w:t>
            </w:r>
          </w:p>
        </w:tc>
        <w:tc>
          <w:tcPr>
            <w:tcW w:w="315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rPr>
            </w:pPr>
            <w:r>
              <w:rPr>
                <w:rFonts w:ascii="宋体" w:hAnsi="宋体" w:cs="宋体" w:eastAsia="宋体"/>
                <w:color w:val="auto"/>
                <w:spacing w:val="0"/>
                <w:position w:val="0"/>
                <w:sz w:val="22"/>
                <w:shd w:fill="auto" w:val="clear"/>
              </w:rPr>
              <w:t xml:space="preserve">475</w:t>
            </w:r>
          </w:p>
        </w:tc>
        <w:tc>
          <w:tcPr>
            <w:tcW w:w="5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rPr>
            </w:pPr>
            <w:r>
              <w:rPr>
                <w:rFonts w:ascii="仿宋" w:hAnsi="仿宋" w:cs="仿宋" w:eastAsia="仿宋"/>
                <w:color w:val="auto"/>
                <w:spacing w:val="0"/>
                <w:position w:val="0"/>
                <w:sz w:val="22"/>
                <w:shd w:fill="auto" w:val="clear"/>
              </w:rPr>
              <w:t xml:space="preserve">118.75</w:t>
            </w:r>
          </w:p>
        </w:tc>
      </w:tr>
      <w:tr>
        <w:trPr>
          <w:trHeight w:val="543" w:hRule="auto"/>
          <w:jc w:val="left"/>
        </w:trPr>
        <w:tc>
          <w:tcPr>
            <w:tcW w:w="5224"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rPr>
            </w:pPr>
            <w:r>
              <w:rPr>
                <w:rFonts w:ascii="宋体" w:hAnsi="宋体" w:cs="宋体" w:eastAsia="宋体"/>
                <w:color w:val="auto"/>
                <w:spacing w:val="0"/>
                <w:position w:val="0"/>
                <w:sz w:val="22"/>
                <w:shd w:fill="auto" w:val="clear"/>
              </w:rPr>
              <w:t xml:space="preserve">   其中：办公用房（平方米）</w:t>
            </w:r>
          </w:p>
        </w:tc>
        <w:tc>
          <w:tcPr>
            <w:tcW w:w="315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rPr>
            </w:pPr>
            <w:r>
              <w:rPr>
                <w:rFonts w:ascii="宋体" w:hAnsi="宋体" w:cs="宋体" w:eastAsia="宋体"/>
                <w:color w:val="auto"/>
                <w:spacing w:val="0"/>
                <w:position w:val="0"/>
                <w:sz w:val="22"/>
                <w:shd w:fill="auto" w:val="clear"/>
              </w:rPr>
              <w:t xml:space="preserve">475</w:t>
            </w:r>
          </w:p>
        </w:tc>
        <w:tc>
          <w:tcPr>
            <w:tcW w:w="5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z w:val="22"/>
              </w:rPr>
            </w:pPr>
            <w:r>
              <w:rPr>
                <w:rFonts w:ascii="仿宋" w:hAnsi="仿宋" w:cs="仿宋" w:eastAsia="仿宋"/>
                <w:color w:val="auto"/>
                <w:spacing w:val="0"/>
                <w:position w:val="0"/>
                <w:sz w:val="22"/>
                <w:shd w:fill="auto" w:val="clear"/>
              </w:rPr>
              <w:t xml:space="preserve">118.75</w:t>
            </w:r>
          </w:p>
        </w:tc>
      </w:tr>
      <w:tr>
        <w:trPr>
          <w:trHeight w:val="566" w:hRule="auto"/>
          <w:jc w:val="left"/>
        </w:trPr>
        <w:tc>
          <w:tcPr>
            <w:tcW w:w="5224"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rPr>
            </w:pPr>
            <w:r>
              <w:rPr>
                <w:rFonts w:ascii="宋体" w:hAnsi="宋体" w:cs="宋体" w:eastAsia="宋体"/>
                <w:color w:val="auto"/>
                <w:spacing w:val="0"/>
                <w:position w:val="0"/>
                <w:sz w:val="22"/>
                <w:shd w:fill="auto" w:val="clear"/>
              </w:rPr>
              <w:t xml:space="preserve">2、车辆（台、辆）</w:t>
            </w:r>
          </w:p>
        </w:tc>
        <w:tc>
          <w:tcPr>
            <w:tcW w:w="315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5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546" w:hRule="auto"/>
          <w:jc w:val="left"/>
        </w:trPr>
        <w:tc>
          <w:tcPr>
            <w:tcW w:w="5224"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rPr>
            </w:pPr>
            <w:r>
              <w:rPr>
                <w:rFonts w:ascii="宋体" w:hAnsi="宋体" w:cs="宋体" w:eastAsia="宋体"/>
                <w:color w:val="auto"/>
                <w:spacing w:val="0"/>
                <w:position w:val="0"/>
                <w:sz w:val="22"/>
                <w:shd w:fill="auto" w:val="clear"/>
              </w:rPr>
              <w:t xml:space="preserve">3、单价在20万元以上的设备</w:t>
            </w:r>
          </w:p>
        </w:tc>
        <w:tc>
          <w:tcPr>
            <w:tcW w:w="315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5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r>
      <w:tr>
        <w:trPr>
          <w:trHeight w:val="645" w:hRule="auto"/>
          <w:jc w:val="left"/>
        </w:trPr>
        <w:tc>
          <w:tcPr>
            <w:tcW w:w="5224"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left"/>
              <w:rPr>
                <w:rFonts w:ascii="宋体" w:hAnsi="宋体" w:cs="宋体" w:eastAsia="宋体"/>
                <w:color w:val="auto"/>
                <w:spacing w:val="0"/>
                <w:position w:val="0"/>
                <w:sz w:val="22"/>
              </w:rPr>
            </w:pPr>
            <w:r>
              <w:rPr>
                <w:rFonts w:ascii="宋体" w:hAnsi="宋体" w:cs="宋体" w:eastAsia="宋体"/>
                <w:color w:val="auto"/>
                <w:spacing w:val="0"/>
                <w:position w:val="0"/>
                <w:sz w:val="22"/>
                <w:shd w:fill="auto" w:val="clear"/>
              </w:rPr>
              <w:t xml:space="preserve">4、其他固定资产</w:t>
            </w:r>
          </w:p>
        </w:tc>
        <w:tc>
          <w:tcPr>
            <w:tcW w:w="3155"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shd w:fill="auto" w:val="clear"/>
              </w:rPr>
            </w:pPr>
          </w:p>
        </w:tc>
        <w:tc>
          <w:tcPr>
            <w:tcW w:w="5103"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rFonts w:ascii="宋体" w:hAnsi="宋体" w:cs="宋体" w:eastAsia="宋体"/>
                <w:color w:val="auto"/>
                <w:spacing w:val="0"/>
                <w:position w:val="0"/>
                <w:sz w:val="22"/>
              </w:rPr>
            </w:pPr>
            <w:r>
              <w:rPr>
                <w:rFonts w:ascii="宋体" w:hAnsi="宋体" w:cs="宋体" w:eastAsia="宋体"/>
                <w:color w:val="auto"/>
                <w:spacing w:val="0"/>
                <w:position w:val="0"/>
                <w:sz w:val="22"/>
                <w:shd w:fill="auto" w:val="clear"/>
              </w:rPr>
              <w:t xml:space="preserve">9.62</w:t>
            </w:r>
          </w:p>
        </w:tc>
      </w:tr>
    </w:tbl>
    <w:p>
      <w:pPr>
        <w:spacing w:before="0" w:after="0" w:line="24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八、名词解释</w:t>
      </w:r>
    </w:p>
    <w:p>
      <w:pPr>
        <w:spacing w:before="0" w:after="0" w:line="240"/>
        <w:ind w:right="0" w:left="0" w:firstLine="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    1、一般公共预算拨款收入：指市级财政当年拨付的资金。</w:t>
      </w:r>
    </w:p>
    <w:p>
      <w:pPr>
        <w:spacing w:before="0" w:after="0" w:line="240"/>
        <w:ind w:right="0" w:left="0" w:firstLine="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    2、事业收入：指事业单位开展专业业务活动及辅助活动所取得的收入。</w:t>
      </w:r>
    </w:p>
    <w:p>
      <w:pPr>
        <w:spacing w:before="0" w:after="0" w:line="240"/>
        <w:ind w:right="0" w:left="0" w:firstLine="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    3、其他收入：指除上述“财政拨款收入”、“事业收入”等以外的收入。主要是按规定动用的租房收入、存款利息收入等。</w:t>
      </w:r>
    </w:p>
    <w:p>
      <w:pPr>
        <w:spacing w:before="0" w:after="0" w:line="240"/>
        <w:ind w:right="0" w:left="0" w:firstLine="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    4、基本支出：指为保障机构正常运转、完成日常工作任务而发生的人员支出和公用支出。</w:t>
      </w:r>
    </w:p>
    <w:p>
      <w:pPr>
        <w:spacing w:before="0" w:after="0" w:line="240"/>
        <w:ind w:right="0" w:left="0" w:firstLine="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    5、项目支出：指在基本支出之外为完成特定行政任务和事业发展目标所发生的支出。</w:t>
      </w:r>
    </w:p>
    <w:p>
      <w:pPr>
        <w:spacing w:before="0" w:after="0" w:line="240"/>
        <w:ind w:right="0" w:left="0" w:firstLine="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    6、上缴上级支出：指下级单位上缴上级的支出。</w:t>
      </w:r>
    </w:p>
    <w:p>
      <w:pPr>
        <w:spacing w:before="0" w:after="0" w:line="240"/>
        <w:ind w:right="0" w:left="0" w:firstLine="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before="0" w:after="0" w:line="240"/>
        <w:ind w:right="0" w:left="0" w:firstLine="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0" w:after="0" w:line="240"/>
        <w:ind w:right="0" w:left="0" w:firstLine="640"/>
        <w:jc w:val="both"/>
        <w:rPr>
          <w:rFonts w:ascii="黑体" w:hAnsi="黑体" w:cs="黑体" w:eastAsia="黑体"/>
          <w:color w:val="auto"/>
          <w:spacing w:val="0"/>
          <w:position w:val="0"/>
          <w:sz w:val="32"/>
          <w:shd w:fill="auto" w:val="clear"/>
        </w:rPr>
      </w:pPr>
      <w:r>
        <w:rPr>
          <w:rFonts w:ascii="黑体" w:hAnsi="黑体" w:cs="黑体" w:eastAsia="黑体"/>
          <w:color w:val="auto"/>
          <w:spacing w:val="0"/>
          <w:position w:val="0"/>
          <w:sz w:val="32"/>
          <w:shd w:fill="auto" w:val="clear"/>
        </w:rPr>
        <w:t xml:space="preserve">九、其他需要说明的事项</w:t>
      </w:r>
    </w:p>
    <w:p>
      <w:pPr>
        <w:spacing w:before="0" w:after="0" w:line="240"/>
        <w:ind w:right="0" w:left="0" w:firstLine="640"/>
        <w:jc w:val="both"/>
        <w:rPr>
          <w:rFonts w:ascii="仿宋" w:hAnsi="仿宋" w:cs="仿宋" w:eastAsia="仿宋"/>
          <w:color w:val="auto"/>
          <w:spacing w:val="0"/>
          <w:position w:val="0"/>
          <w:sz w:val="32"/>
          <w:shd w:fill="auto" w:val="clear"/>
        </w:rPr>
      </w:pPr>
      <w:r>
        <w:rPr>
          <w:rFonts w:ascii="仿宋" w:hAnsi="仿宋" w:cs="仿宋" w:eastAsia="仿宋"/>
          <w:color w:val="auto"/>
          <w:spacing w:val="0"/>
          <w:position w:val="0"/>
          <w:sz w:val="32"/>
          <w:shd w:fill="auto" w:val="clear"/>
        </w:rPr>
        <w:t xml:space="preserve">无其他需要说明的事项。</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